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7111F"/>
        </w:rPr>
        <w:t>Three Ways to Deploy the Hardware</w:t>
      </w:r>
    </w:p>
    <w:p>
      <w:r>
        <w:rPr>
          <w:b/>
          <w:color w:val="D6A84F"/>
          <w:sz w:val="22"/>
        </w:rPr>
        <w:t>Commission Tritium, go through Tesla Charging, or run both</w:t>
      </w:r>
    </w:p>
    <w:p>
      <w:pPr>
        <w:pStyle w:val="Heading1"/>
      </w:pPr>
      <w:r>
        <w:t>Starting position</w:t>
      </w:r>
    </w:p>
    <w:p>
      <w:r>
        <w:t>Fifty Tritium DC units owned and warehoused in Tennessee. Twelve bays designed at Norcross, none built. No utility interconnect applied for. Hardware capex for the Tritium route is zero; remaining spend is $20,000-$45,000 per stall.</w:t>
      </w:r>
    </w:p>
    <w:p>
      <w:pPr>
        <w:pStyle w:val="Heading1"/>
      </w:pPr>
      <w:r>
        <w:t>Path A - Commission Tritium</w:t>
      </w:r>
    </w:p>
    <w:p>
      <w:r>
        <w:t>Deploy owned inventory at Norcross, then Nashville. Fastest to delivered kWh. Open items: NACS cable set, Exicom support confirmation.</w:t>
      </w:r>
    </w:p>
    <w:p>
      <w:pPr>
        <w:pStyle w:val="Heading1"/>
      </w:pPr>
      <w:r>
        <w:t>Path B - Tesla Charging</w:t>
      </w:r>
    </w:p>
    <w:p>
      <w:r>
        <w:t>A site-host process, not a hardware purchase. Higher capex and lead time; interconnect still required. Do not strand owned Tritium units to pursue it.</w:t>
      </w:r>
    </w:p>
    <w:p>
      <w:pPr>
        <w:pStyle w:val="Heading1"/>
      </w:pPr>
      <w:r>
        <w:t>Path C - Hybrid (recommended)</w:t>
      </w:r>
    </w:p>
    <w:p>
      <w:r>
        <w:t>Tesla stalls at Norcross for native CyberCab charging; Tritium as the public and overflow sleeve. First 8-12 Tritium units serve Norcross in the interim.</w:t>
      </w:r>
    </w:p>
    <w:p>
      <w:pPr>
        <w:pStyle w:val="Heading1"/>
      </w:pPr>
      <w:r>
        <w:t>Sequence</w:t>
      </w:r>
    </w:p>
    <w:p>
      <w:r>
        <w:t>1. Serial schedule and photographs. 2. Exicom support letter. 3. Independent appraisal. 4. Utility interconnect application. 5. Georgia Power Make Ready application if eligible. None of the first three require capital.</w:t>
      </w:r>
    </w:p>
    <w:p/>
    <w:p>
      <w:r>
        <w:rPr>
          <w:color w:val="788291"/>
          <w:sz w:val="15"/>
        </w:rPr>
        <w:t>UnyKorn Black is operated by UnyKorn LLC. Not affiliated with, endorsed by or sponsored by Tesla, Inc. Nothing in this document is an offer to sell, or a solicitation of an offer to buy, any security or token. Figures are models, not forecasts or guarantees.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